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7E0D7439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673A4B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543114" w:rsidRPr="00543114">
        <w:rPr>
          <w:b/>
          <w:i/>
          <w:noProof/>
          <w:sz w:val="28"/>
        </w:rPr>
        <w:t>251890</w:t>
      </w:r>
    </w:p>
    <w:p w14:paraId="7885B623" w14:textId="535C79B9" w:rsidR="007748ED" w:rsidRDefault="003E47AC" w:rsidP="00C00F23">
      <w:pPr>
        <w:pStyle w:val="CRCoverPage"/>
        <w:outlineLvl w:val="0"/>
        <w:rPr>
          <w:b/>
          <w:noProof/>
          <w:sz w:val="24"/>
        </w:rPr>
      </w:pPr>
      <w:r w:rsidRPr="003E47AC">
        <w:rPr>
          <w:b/>
          <w:noProof/>
          <w:sz w:val="24"/>
        </w:rPr>
        <w:fldChar w:fldCharType="begin"/>
      </w:r>
      <w:r w:rsidRPr="003E47AC">
        <w:rPr>
          <w:b/>
          <w:noProof/>
          <w:sz w:val="24"/>
        </w:rPr>
        <w:instrText xml:space="preserve"> DOCPROPERTY  Location  \* MERGEFORMAT </w:instrText>
      </w:r>
      <w:r w:rsidRPr="003E47AC">
        <w:rPr>
          <w:b/>
          <w:noProof/>
          <w:sz w:val="24"/>
        </w:rPr>
        <w:fldChar w:fldCharType="separate"/>
      </w:r>
      <w:r w:rsidRPr="003E47AC">
        <w:rPr>
          <w:b/>
          <w:noProof/>
          <w:sz w:val="24"/>
        </w:rPr>
        <w:t>Malta</w:t>
      </w:r>
      <w:r w:rsidRPr="003E47AC">
        <w:rPr>
          <w:b/>
          <w:noProof/>
          <w:sz w:val="24"/>
        </w:rPr>
        <w:fldChar w:fldCharType="end"/>
      </w:r>
      <w:r w:rsidRPr="003E47AC">
        <w:rPr>
          <w:b/>
          <w:noProof/>
          <w:sz w:val="24"/>
        </w:rPr>
        <w:t xml:space="preserve">, </w:t>
      </w:r>
      <w:r w:rsidRPr="003E47AC">
        <w:rPr>
          <w:b/>
          <w:noProof/>
          <w:sz w:val="24"/>
        </w:rPr>
        <w:fldChar w:fldCharType="begin"/>
      </w:r>
      <w:r w:rsidRPr="003E47AC">
        <w:rPr>
          <w:b/>
          <w:noProof/>
          <w:sz w:val="24"/>
        </w:rPr>
        <w:instrText xml:space="preserve"> DOCPROPERTY  Country  \* MERGEFORMAT </w:instrText>
      </w:r>
      <w:r w:rsidRPr="003E47AC">
        <w:rPr>
          <w:b/>
          <w:noProof/>
          <w:sz w:val="24"/>
        </w:rPr>
        <w:fldChar w:fldCharType="separate"/>
      </w:r>
      <w:r w:rsidRPr="003E47AC">
        <w:rPr>
          <w:b/>
          <w:noProof/>
          <w:sz w:val="24"/>
        </w:rPr>
        <w:t>Malta</w:t>
      </w:r>
      <w:r w:rsidRPr="003E47AC">
        <w:rPr>
          <w:b/>
          <w:noProof/>
          <w:sz w:val="24"/>
        </w:rPr>
        <w:fldChar w:fldCharType="end"/>
      </w:r>
      <w:r w:rsidRPr="003E47AC">
        <w:rPr>
          <w:b/>
          <w:noProof/>
          <w:sz w:val="24"/>
        </w:rPr>
        <w:t xml:space="preserve">, </w:t>
      </w:r>
      <w:r w:rsidRPr="003E47AC">
        <w:rPr>
          <w:b/>
          <w:noProof/>
          <w:sz w:val="24"/>
        </w:rPr>
        <w:fldChar w:fldCharType="begin"/>
      </w:r>
      <w:r w:rsidRPr="003E47AC">
        <w:rPr>
          <w:b/>
          <w:noProof/>
          <w:sz w:val="24"/>
        </w:rPr>
        <w:instrText xml:space="preserve"> DOCPROPERTY  StartDate  \* MERGEFORMAT </w:instrText>
      </w:r>
      <w:r w:rsidRPr="003E47AC">
        <w:rPr>
          <w:b/>
          <w:noProof/>
          <w:sz w:val="24"/>
        </w:rPr>
        <w:fldChar w:fldCharType="separate"/>
      </w:r>
      <w:r w:rsidRPr="003E47AC">
        <w:rPr>
          <w:b/>
          <w:noProof/>
          <w:sz w:val="24"/>
        </w:rPr>
        <w:t>19th May 2025</w:t>
      </w:r>
      <w:r w:rsidRPr="003E47AC">
        <w:rPr>
          <w:b/>
          <w:noProof/>
          <w:sz w:val="24"/>
        </w:rPr>
        <w:fldChar w:fldCharType="end"/>
      </w:r>
      <w:r w:rsidRPr="003E47AC">
        <w:rPr>
          <w:b/>
          <w:noProof/>
          <w:sz w:val="24"/>
        </w:rPr>
        <w:t xml:space="preserve"> - </w:t>
      </w:r>
      <w:r w:rsidRPr="003E47AC">
        <w:rPr>
          <w:b/>
          <w:noProof/>
          <w:sz w:val="24"/>
        </w:rPr>
        <w:fldChar w:fldCharType="begin"/>
      </w:r>
      <w:r w:rsidRPr="003E47AC">
        <w:rPr>
          <w:b/>
          <w:noProof/>
          <w:sz w:val="24"/>
        </w:rPr>
        <w:instrText xml:space="preserve"> DOCPROPERTY  EndDate  \* MERGEFORMAT </w:instrText>
      </w:r>
      <w:r w:rsidRPr="003E47AC">
        <w:rPr>
          <w:b/>
          <w:noProof/>
          <w:sz w:val="24"/>
        </w:rPr>
        <w:fldChar w:fldCharType="separate"/>
      </w:r>
      <w:r w:rsidRPr="003E47AC">
        <w:rPr>
          <w:b/>
          <w:noProof/>
          <w:sz w:val="24"/>
        </w:rPr>
        <w:t>23rd May 2025</w:t>
      </w:r>
      <w:r w:rsidRPr="003E47AC">
        <w:rPr>
          <w:b/>
          <w:noProof/>
          <w:sz w:val="24"/>
        </w:rPr>
        <w:fldChar w:fldCharType="end"/>
      </w:r>
    </w:p>
    <w:p w14:paraId="35952388" w14:textId="19B10FD3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15E96" w:rsidRPr="00215E96">
        <w:rPr>
          <w:rFonts w:ascii="Arial" w:hAnsi="Arial" w:cs="Arial"/>
          <w:sz w:val="24"/>
          <w:szCs w:val="24"/>
        </w:rPr>
        <w:t>5.4.20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3B925A04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808DF" w:rsidRPr="005808DF">
        <w:rPr>
          <w:rFonts w:ascii="Arial" w:hAnsi="Arial" w:cs="Arial"/>
          <w:sz w:val="24"/>
          <w:szCs w:val="24"/>
        </w:rPr>
        <w:t>FR2 MU - PC7 analysis for ACS and IBB test cases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6E47B375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A23B73">
        <w:rPr>
          <w:rFonts w:eastAsia="Batang"/>
        </w:rPr>
        <w:t xml:space="preserve"> aims to analyse the </w:t>
      </w:r>
      <w:r w:rsidR="005F6ECD">
        <w:rPr>
          <w:rFonts w:eastAsia="Batang"/>
        </w:rPr>
        <w:t>measurement uncertainty, test tolerances and relaxations applicable to PC7 for ACS and IBB test cases</w:t>
      </w:r>
      <w:r w:rsidR="006C2AF9" w:rsidRPr="00354167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7CF24548" w:rsidR="00DB6CE7" w:rsidRPr="00423F6F" w:rsidRDefault="005F6ECD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bookmarkStart w:id="3" w:name="_Ref194915634"/>
      <w:r>
        <w:rPr>
          <w:rFonts w:eastAsia="Times New Roman"/>
          <w:lang w:eastAsia="en-GB"/>
        </w:rPr>
        <w:t>Relaxations</w:t>
      </w:r>
      <w:bookmarkEnd w:id="3"/>
    </w:p>
    <w:p w14:paraId="23A3F99D" w14:textId="3AE366C9" w:rsidR="009C0C34" w:rsidRDefault="0007480B" w:rsidP="00DB6CE7">
      <w:r>
        <w:t xml:space="preserve">The relaxation baseline </w:t>
      </w:r>
      <w:r w:rsidR="006A682A">
        <w:t xml:space="preserve">analysis </w:t>
      </w:r>
      <w:r>
        <w:t xml:space="preserve">for ACS and IBB test cases is captured </w:t>
      </w:r>
      <w:r w:rsidR="008F472C">
        <w:t>i</w:t>
      </w:r>
      <w:r w:rsidR="00DB6CE7">
        <w:t xml:space="preserve">n </w:t>
      </w:r>
      <w:r w:rsidR="00DB6CE7">
        <w:fldChar w:fldCharType="begin"/>
      </w:r>
      <w:r w:rsidR="00DB6CE7">
        <w:instrText xml:space="preserve"> REF _Ref124155470 \r \h </w:instrText>
      </w:r>
      <w:r w:rsidR="00DB6CE7">
        <w:fldChar w:fldCharType="separate"/>
      </w:r>
      <w:r w:rsidR="00A3096A">
        <w:t>[1]</w:t>
      </w:r>
      <w:r w:rsidR="00DB6CE7">
        <w:fldChar w:fldCharType="end"/>
      </w:r>
      <w:r w:rsidR="008F472C">
        <w:t xml:space="preserve">. There, in FR2a, </w:t>
      </w:r>
      <w:r w:rsidR="00722D3D">
        <w:t xml:space="preserve">the agreed maximum feasible interferer power is set to -52.8dBm. </w:t>
      </w:r>
      <w:r w:rsidR="00B01518">
        <w:t xml:space="preserve">In this test cases, </w:t>
      </w:r>
      <w:r w:rsidR="002A0060">
        <w:t xml:space="preserve">ACS Case 1 and IBB, </w:t>
      </w:r>
      <w:r w:rsidR="00B01518">
        <w:t>the power level of the interferer</w:t>
      </w:r>
      <w:r w:rsidR="002A0060">
        <w:t xml:space="preserve">, </w:t>
      </w:r>
      <w:proofErr w:type="spellStart"/>
      <w:r w:rsidR="002A0060">
        <w:t>Pinterferer</w:t>
      </w:r>
      <w:proofErr w:type="spellEnd"/>
      <w:r w:rsidR="00604D7C">
        <w:t>,</w:t>
      </w:r>
      <w:r w:rsidR="00B01518">
        <w:t xml:space="preserve"> depends on the REFSENS power level which in the end also depends on the power class.</w:t>
      </w:r>
      <w:r w:rsidR="002A0060">
        <w:t xml:space="preserve"> </w:t>
      </w:r>
      <w:r w:rsidR="00460237">
        <w:t xml:space="preserve">For PC7, the REFSENS per </w:t>
      </w:r>
      <w:r w:rsidR="00767228">
        <w:t>polarization</w:t>
      </w:r>
      <w:r w:rsidR="00460237">
        <w:t xml:space="preserve"> is -</w:t>
      </w:r>
      <w:r w:rsidR="00D9140C">
        <w:t>82.3</w:t>
      </w:r>
      <w:r w:rsidR="00460237">
        <w:t>dBm/50MHz</w:t>
      </w:r>
      <w:r w:rsidR="00767228">
        <w:t xml:space="preserve"> and -</w:t>
      </w:r>
      <w:r w:rsidR="002D779F">
        <w:t xml:space="preserve">79.3dBm/100MHz. </w:t>
      </w:r>
      <w:r w:rsidR="00AA522D">
        <w:t xml:space="preserve">The required </w:t>
      </w:r>
      <w:proofErr w:type="spellStart"/>
      <w:r w:rsidR="00AA522D">
        <w:t>Pinterferer</w:t>
      </w:r>
      <w:proofErr w:type="spellEnd"/>
      <w:r w:rsidR="00AA522D">
        <w:t xml:space="preserve"> is equal to REFSENS per polarization + 34.5dB resulting in a </w:t>
      </w:r>
      <w:proofErr w:type="spellStart"/>
      <w:r w:rsidR="00B24CEF">
        <w:t>Pinterferer</w:t>
      </w:r>
      <w:proofErr w:type="spellEnd"/>
      <w:r w:rsidR="00AA522D">
        <w:t xml:space="preserve"> power o</w:t>
      </w:r>
      <w:r w:rsidR="00F74113">
        <w:t>f -52.8dBm/50MHz and -49.8dBm/100MHz</w:t>
      </w:r>
      <w:r w:rsidR="00B24CEF">
        <w:t xml:space="preserve">. Therefore, in case </w:t>
      </w:r>
      <w:r w:rsidR="00091C38">
        <w:t xml:space="preserve">of </w:t>
      </w:r>
      <w:r w:rsidR="00680470">
        <w:t xml:space="preserve">100MHz, required </w:t>
      </w:r>
      <w:proofErr w:type="spellStart"/>
      <w:r w:rsidR="00680470">
        <w:t>Pinterferer</w:t>
      </w:r>
      <w:proofErr w:type="spellEnd"/>
      <w:r w:rsidR="00680470">
        <w:t xml:space="preserve"> for PC7 in ACS Case 1 and IBB test cases will be 3dB higher than the maximum power supported</w:t>
      </w:r>
      <w:r w:rsidR="00091C38">
        <w:t xml:space="preserve"> so 3dB relaxation will be required. All </w:t>
      </w:r>
      <w:r w:rsidR="00C53872">
        <w:t>these calculations</w:t>
      </w:r>
      <w:r w:rsidR="00091C38">
        <w:t xml:space="preserve"> are summarised in table below.</w:t>
      </w:r>
    </w:p>
    <w:p w14:paraId="3503FD94" w14:textId="77777777" w:rsidR="00976F6C" w:rsidRDefault="00976F6C" w:rsidP="00DB6CE7"/>
    <w:tbl>
      <w:tblPr>
        <w:tblStyle w:val="TableGrid"/>
        <w:tblW w:w="9634" w:type="dxa"/>
        <w:tblLayout w:type="fixed"/>
        <w:tblLook w:val="0000" w:firstRow="0" w:lastRow="0" w:firstColumn="0" w:lastColumn="0" w:noHBand="0" w:noVBand="0"/>
      </w:tblPr>
      <w:tblGrid>
        <w:gridCol w:w="1838"/>
        <w:gridCol w:w="1559"/>
        <w:gridCol w:w="1670"/>
        <w:gridCol w:w="1732"/>
        <w:gridCol w:w="1418"/>
        <w:gridCol w:w="1417"/>
      </w:tblGrid>
      <w:tr w:rsidR="00976F6C" w14:paraId="0981B187" w14:textId="77777777" w:rsidTr="00DF2001">
        <w:tc>
          <w:tcPr>
            <w:tcW w:w="1838" w:type="dxa"/>
          </w:tcPr>
          <w:p w14:paraId="03EBD4E1" w14:textId="71D821DF" w:rsidR="00976F6C" w:rsidRDefault="00976F6C" w:rsidP="00DF2001">
            <w:r>
              <w:t>Frequency ra</w:t>
            </w:r>
            <w:r w:rsidR="00B54499">
              <w:t>n</w:t>
            </w:r>
            <w:r>
              <w:t>ge</w:t>
            </w:r>
          </w:p>
        </w:tc>
        <w:tc>
          <w:tcPr>
            <w:tcW w:w="1559" w:type="dxa"/>
          </w:tcPr>
          <w:p w14:paraId="0952743D" w14:textId="77777777" w:rsidR="00976F6C" w:rsidRDefault="00976F6C" w:rsidP="00DF2001">
            <w:r>
              <w:t>Feasible Interferer power (dBm)</w:t>
            </w:r>
          </w:p>
        </w:tc>
        <w:tc>
          <w:tcPr>
            <w:tcW w:w="1670" w:type="dxa"/>
          </w:tcPr>
          <w:p w14:paraId="3B41F9FD" w14:textId="77777777" w:rsidR="00976F6C" w:rsidRDefault="00976F6C" w:rsidP="00DF2001">
            <w:r>
              <w:t>Interferer level requirement for 50 MHz CHBW (dBm)</w:t>
            </w:r>
          </w:p>
        </w:tc>
        <w:tc>
          <w:tcPr>
            <w:tcW w:w="1732" w:type="dxa"/>
          </w:tcPr>
          <w:p w14:paraId="6D2030BB" w14:textId="77777777" w:rsidR="00976F6C" w:rsidRDefault="00976F6C" w:rsidP="00DF2001">
            <w:r>
              <w:t>Interferer level requirement for 100 MHz CHBW (dBm)</w:t>
            </w:r>
          </w:p>
        </w:tc>
        <w:tc>
          <w:tcPr>
            <w:tcW w:w="1418" w:type="dxa"/>
          </w:tcPr>
          <w:p w14:paraId="06FA5D43" w14:textId="77777777" w:rsidR="00976F6C" w:rsidRDefault="00976F6C" w:rsidP="00DF2001">
            <w:r>
              <w:t>Relaxation for 50 MHz CHBW (dB)</w:t>
            </w:r>
          </w:p>
        </w:tc>
        <w:tc>
          <w:tcPr>
            <w:tcW w:w="1417" w:type="dxa"/>
          </w:tcPr>
          <w:p w14:paraId="4DD89966" w14:textId="77777777" w:rsidR="00976F6C" w:rsidRDefault="00976F6C" w:rsidP="00DF2001">
            <w:r>
              <w:t>Relaxation for 100 MHz CHBW (dB)</w:t>
            </w:r>
          </w:p>
        </w:tc>
      </w:tr>
      <w:tr w:rsidR="00976F6C" w:rsidRPr="003961EB" w14:paraId="5C9F83BA" w14:textId="77777777" w:rsidTr="00DF2001">
        <w:tc>
          <w:tcPr>
            <w:tcW w:w="1838" w:type="dxa"/>
          </w:tcPr>
          <w:p w14:paraId="4F8448DB" w14:textId="2D0D49E8" w:rsidR="00976F6C" w:rsidRDefault="00976F6C" w:rsidP="00DF2001">
            <w:r>
              <w:t>FR2a</w:t>
            </w:r>
          </w:p>
        </w:tc>
        <w:tc>
          <w:tcPr>
            <w:tcW w:w="1559" w:type="dxa"/>
          </w:tcPr>
          <w:p w14:paraId="20EBD7F8" w14:textId="77777777" w:rsidR="00976F6C" w:rsidRDefault="00976F6C" w:rsidP="00DF2001">
            <w:r>
              <w:t>-52.8</w:t>
            </w:r>
          </w:p>
        </w:tc>
        <w:tc>
          <w:tcPr>
            <w:tcW w:w="1670" w:type="dxa"/>
          </w:tcPr>
          <w:p w14:paraId="12C919D7" w14:textId="314D97A2" w:rsidR="00976F6C" w:rsidRDefault="00976F6C" w:rsidP="00DF2001">
            <w:r>
              <w:t>-52.8</w:t>
            </w:r>
          </w:p>
        </w:tc>
        <w:tc>
          <w:tcPr>
            <w:tcW w:w="1732" w:type="dxa"/>
          </w:tcPr>
          <w:p w14:paraId="47F1114A" w14:textId="4842C539" w:rsidR="00976F6C" w:rsidRDefault="00976F6C" w:rsidP="00DF2001">
            <w:r>
              <w:t>-49.8</w:t>
            </w:r>
          </w:p>
        </w:tc>
        <w:tc>
          <w:tcPr>
            <w:tcW w:w="1418" w:type="dxa"/>
          </w:tcPr>
          <w:p w14:paraId="063128F7" w14:textId="77777777" w:rsidR="00976F6C" w:rsidRPr="003961EB" w:rsidRDefault="00976F6C" w:rsidP="00DF2001">
            <w:r w:rsidRPr="003961EB">
              <w:t>N/A</w:t>
            </w:r>
          </w:p>
        </w:tc>
        <w:tc>
          <w:tcPr>
            <w:tcW w:w="1417" w:type="dxa"/>
          </w:tcPr>
          <w:p w14:paraId="26FD407B" w14:textId="733610C0" w:rsidR="00976F6C" w:rsidRPr="003961EB" w:rsidRDefault="002A7452" w:rsidP="00DF2001">
            <w:r>
              <w:t>3dB</w:t>
            </w:r>
            <w:r w:rsidR="00976F6C" w:rsidRPr="003961EB">
              <w:t xml:space="preserve"> </w:t>
            </w:r>
          </w:p>
        </w:tc>
      </w:tr>
    </w:tbl>
    <w:p w14:paraId="03D57A63" w14:textId="444AFEB5" w:rsidR="00A85CB8" w:rsidRDefault="00A85CB8" w:rsidP="00DB6CE7">
      <w:r>
        <w:t>Table 2.1-1. Feasible interfere</w:t>
      </w:r>
      <w:r w:rsidR="0061469A">
        <w:t>r</w:t>
      </w:r>
      <w:r>
        <w:t xml:space="preserve"> power level and proposed relaxation required for PC7 in ACS Case 1 and IBB test</w:t>
      </w:r>
      <w:r w:rsidR="0061469A">
        <w:t>s</w:t>
      </w:r>
      <w:r>
        <w:t>.</w:t>
      </w:r>
    </w:p>
    <w:p w14:paraId="1198ACF0" w14:textId="77777777" w:rsidR="00C53872" w:rsidRDefault="00C53872" w:rsidP="00DB6CE7"/>
    <w:p w14:paraId="0F448C72" w14:textId="4CE11AB3" w:rsidR="00C53872" w:rsidRDefault="00C53872" w:rsidP="00DB6CE7">
      <w:r>
        <w:t xml:space="preserve">As the most </w:t>
      </w:r>
      <w:r w:rsidR="00395BBC">
        <w:t>relevant</w:t>
      </w:r>
      <w:r>
        <w:t xml:space="preserve"> in ACS and IBB testing is the relative power </w:t>
      </w:r>
      <w:r w:rsidR="00395BBC">
        <w:t>between the interferer and the wanted signal, in case relaxation is required, it should be applied to both the interferer and the wanted signal</w:t>
      </w:r>
      <w:r w:rsidR="00CE7A20">
        <w:t>. This approach is already followed in th</w:t>
      </w:r>
      <w:r w:rsidR="00665FBC">
        <w:t>ese</w:t>
      </w:r>
      <w:r w:rsidR="00CE7A20">
        <w:t xml:space="preserve"> test cases </w:t>
      </w:r>
      <w:r w:rsidR="00AA6469">
        <w:t>for other power classes and frequency ranges where relaxations are already required</w:t>
      </w:r>
      <w:r w:rsidR="00665FBC">
        <w:t xml:space="preserve"> so same approach should be followed now for PC7 in Fra.</w:t>
      </w:r>
    </w:p>
    <w:p w14:paraId="55BB0DC4" w14:textId="39A74EEA" w:rsidR="00DB6CE7" w:rsidRDefault="00DB6CE7" w:rsidP="00DB6CE7">
      <w:pPr>
        <w:pStyle w:val="Caption"/>
        <w:rPr>
          <w:b w:val="0"/>
          <w:bCs/>
        </w:rPr>
      </w:pPr>
      <w:bookmarkStart w:id="4" w:name="_Ref11597510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3096A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2A7452">
        <w:rPr>
          <w:b w:val="0"/>
          <w:bCs/>
        </w:rPr>
        <w:t>For testing PC7 in ACS Case 1 and IBB test cases</w:t>
      </w:r>
      <w:r w:rsidR="004810B2">
        <w:rPr>
          <w:b w:val="0"/>
          <w:bCs/>
        </w:rPr>
        <w:t xml:space="preserve"> in FR2a bands</w:t>
      </w:r>
      <w:r w:rsidR="002A7452">
        <w:rPr>
          <w:b w:val="0"/>
          <w:bCs/>
        </w:rPr>
        <w:t xml:space="preserve">, </w:t>
      </w:r>
      <w:r w:rsidR="00AB21BF">
        <w:rPr>
          <w:b w:val="0"/>
          <w:bCs/>
        </w:rPr>
        <w:t>for 100MHz bandwidth, apply 3dB relaxation to both the interferer and the wanted signal.</w:t>
      </w:r>
      <w:bookmarkEnd w:id="4"/>
    </w:p>
    <w:p w14:paraId="0F346C94" w14:textId="1652188C" w:rsidR="00394D7F" w:rsidRPr="00423F6F" w:rsidRDefault="005F6ECD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MU and TT</w:t>
      </w:r>
    </w:p>
    <w:p w14:paraId="693621BC" w14:textId="4C8360E5" w:rsidR="00394D7F" w:rsidRDefault="00DC3441" w:rsidP="00394D7F">
      <w:r>
        <w:t xml:space="preserve">If relaxations are applied as proposed in section </w:t>
      </w:r>
      <w:r w:rsidR="003343D3">
        <w:fldChar w:fldCharType="begin"/>
      </w:r>
      <w:r w:rsidR="003343D3">
        <w:instrText xml:space="preserve"> REF _Ref194915634 \r \h </w:instrText>
      </w:r>
      <w:r w:rsidR="003343D3">
        <w:fldChar w:fldCharType="separate"/>
      </w:r>
      <w:r w:rsidR="003343D3">
        <w:t>2.1</w:t>
      </w:r>
      <w:r w:rsidR="003343D3">
        <w:fldChar w:fldCharType="end"/>
      </w:r>
      <w:r>
        <w:t xml:space="preserve">, </w:t>
      </w:r>
      <w:r w:rsidR="002D7F3F">
        <w:t>taking also into account the general MU analysis made for PC7 in</w:t>
      </w:r>
      <w:r w:rsidR="00C90C52">
        <w:t xml:space="preserve"> </w:t>
      </w:r>
      <w:r w:rsidR="00C90C52">
        <w:fldChar w:fldCharType="begin"/>
      </w:r>
      <w:r w:rsidR="00C90C52">
        <w:instrText xml:space="preserve"> REF _Ref194915683 \r \h </w:instrText>
      </w:r>
      <w:r w:rsidR="00C90C52">
        <w:fldChar w:fldCharType="separate"/>
      </w:r>
      <w:r w:rsidR="00C90C52">
        <w:t>[2]</w:t>
      </w:r>
      <w:r w:rsidR="00C90C52">
        <w:fldChar w:fldCharType="end"/>
      </w:r>
      <w:r w:rsidR="00C90C52">
        <w:t xml:space="preserve">and </w:t>
      </w:r>
      <w:r w:rsidR="00C90C52">
        <w:fldChar w:fldCharType="begin"/>
      </w:r>
      <w:r w:rsidR="00C90C52">
        <w:instrText xml:space="preserve"> REF _Ref194915685 \r \h </w:instrText>
      </w:r>
      <w:r w:rsidR="00C90C52">
        <w:fldChar w:fldCharType="separate"/>
      </w:r>
      <w:r w:rsidR="00C90C52">
        <w:t>[3]</w:t>
      </w:r>
      <w:r w:rsidR="00C90C52">
        <w:fldChar w:fldCharType="end"/>
      </w:r>
      <w:r w:rsidR="002D7F3F">
        <w:t xml:space="preserve"> , </w:t>
      </w:r>
      <w:r w:rsidR="00B70AC5">
        <w:t>for ACS and IBB test case</w:t>
      </w:r>
      <w:r w:rsidR="000B5781">
        <w:t>s</w:t>
      </w:r>
      <w:r w:rsidR="00B70AC5">
        <w:t xml:space="preserve"> it is proposed to reuse MU and TT definition </w:t>
      </w:r>
      <w:r w:rsidR="000B5781">
        <w:t>for PC3 in FR2a.</w:t>
      </w:r>
    </w:p>
    <w:p w14:paraId="7577C7AF" w14:textId="49A7B593" w:rsidR="00394D7F" w:rsidRPr="00394D7F" w:rsidRDefault="00394D7F" w:rsidP="00C15817">
      <w:pPr>
        <w:pStyle w:val="Caption"/>
      </w:pPr>
      <w:bookmarkStart w:id="5" w:name="_Ref1241556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3096A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BF45A1">
        <w:rPr>
          <w:b w:val="0"/>
          <w:bCs/>
        </w:rPr>
        <w:t xml:space="preserve">For testing PC7 in ACS Case 1 and IBB test cases in FR2a bands, for 100MHz bandwidth, reuse </w:t>
      </w:r>
      <w:r w:rsidR="004A2347">
        <w:rPr>
          <w:b w:val="0"/>
          <w:bCs/>
        </w:rPr>
        <w:t xml:space="preserve">corresponding </w:t>
      </w:r>
      <w:r w:rsidR="00BF45A1">
        <w:rPr>
          <w:b w:val="0"/>
          <w:bCs/>
        </w:rPr>
        <w:t>MU and TT defined for PC3</w:t>
      </w:r>
      <w:r w:rsidRPr="008E7AF7">
        <w:rPr>
          <w:b w:val="0"/>
          <w:bCs/>
        </w:rPr>
        <w:t>.</w:t>
      </w:r>
      <w:bookmarkEnd w:id="5"/>
    </w:p>
    <w:p w14:paraId="43F5797D" w14:textId="627FF25B" w:rsidR="00F46E30" w:rsidRPr="00F46E30" w:rsidRDefault="00F46E30" w:rsidP="00C42EB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688DD7E1" w14:textId="0C9E39FE" w:rsidR="000974C7" w:rsidRPr="000974C7" w:rsidRDefault="000974C7" w:rsidP="00F6267E">
      <w:pPr>
        <w:rPr>
          <w:bCs/>
        </w:rPr>
      </w:pPr>
      <w:r w:rsidRPr="000974C7">
        <w:rPr>
          <w:bCs/>
        </w:rPr>
        <w:fldChar w:fldCharType="begin"/>
      </w:r>
      <w:r w:rsidRPr="000974C7">
        <w:rPr>
          <w:bCs/>
        </w:rPr>
        <w:instrText xml:space="preserve"> REF _Ref115975103 \h </w:instrText>
      </w:r>
      <w:r>
        <w:rPr>
          <w:bCs/>
        </w:rPr>
        <w:instrText xml:space="preserve"> \* MERGEFORMAT </w:instrText>
      </w:r>
      <w:r w:rsidRPr="000974C7">
        <w:rPr>
          <w:bCs/>
        </w:rPr>
      </w:r>
      <w:r w:rsidRPr="000974C7">
        <w:rPr>
          <w:bCs/>
        </w:rPr>
        <w:fldChar w:fldCharType="separate"/>
      </w:r>
      <w:r w:rsidRPr="000974C7">
        <w:rPr>
          <w:b/>
        </w:rPr>
        <w:t xml:space="preserve">Proposal </w:t>
      </w:r>
      <w:r w:rsidRPr="000974C7">
        <w:rPr>
          <w:b/>
          <w:noProof/>
        </w:rPr>
        <w:t>1</w:t>
      </w:r>
      <w:r w:rsidRPr="000974C7">
        <w:rPr>
          <w:b/>
        </w:rPr>
        <w:t>.</w:t>
      </w:r>
      <w:r w:rsidRPr="000974C7">
        <w:rPr>
          <w:bCs/>
        </w:rPr>
        <w:t xml:space="preserve"> For testing PC7 in ACS Case 1 and IBB test cases in FR2a bands, for 100MHz bandwidth, apply 3dB relaxation to both the interferer and the wanted signal.</w:t>
      </w:r>
      <w:r w:rsidRPr="000974C7">
        <w:rPr>
          <w:bCs/>
        </w:rPr>
        <w:fldChar w:fldCharType="end"/>
      </w:r>
    </w:p>
    <w:p w14:paraId="1DEEDA64" w14:textId="2D237F58" w:rsidR="000974C7" w:rsidRPr="000974C7" w:rsidRDefault="000974C7" w:rsidP="00F6267E">
      <w:pPr>
        <w:rPr>
          <w:bCs/>
        </w:rPr>
      </w:pPr>
      <w:r w:rsidRPr="000974C7">
        <w:rPr>
          <w:bCs/>
        </w:rPr>
        <w:fldChar w:fldCharType="begin"/>
      </w:r>
      <w:r w:rsidRPr="000974C7">
        <w:rPr>
          <w:bCs/>
        </w:rPr>
        <w:instrText xml:space="preserve"> REF _Ref124155652 \h </w:instrText>
      </w:r>
      <w:r>
        <w:rPr>
          <w:bCs/>
        </w:rPr>
        <w:instrText xml:space="preserve"> \* MERGEFORMAT </w:instrText>
      </w:r>
      <w:r w:rsidRPr="000974C7">
        <w:rPr>
          <w:bCs/>
        </w:rPr>
      </w:r>
      <w:r w:rsidRPr="000974C7">
        <w:rPr>
          <w:bCs/>
        </w:rPr>
        <w:fldChar w:fldCharType="separate"/>
      </w:r>
      <w:r w:rsidRPr="000974C7">
        <w:rPr>
          <w:b/>
        </w:rPr>
        <w:t xml:space="preserve">Proposal </w:t>
      </w:r>
      <w:r w:rsidRPr="000974C7">
        <w:rPr>
          <w:b/>
          <w:noProof/>
        </w:rPr>
        <w:t>2</w:t>
      </w:r>
      <w:r w:rsidRPr="000974C7">
        <w:rPr>
          <w:b/>
        </w:rPr>
        <w:t>.</w:t>
      </w:r>
      <w:r w:rsidRPr="000974C7">
        <w:rPr>
          <w:bCs/>
        </w:rPr>
        <w:t xml:space="preserve"> For testing PC7 in ACS Case 1 and IBB test cases in FR2a bands, for 100MHz bandwidth, reuse corresponding MU and TT defined for PC3.</w:t>
      </w:r>
      <w:r w:rsidRPr="000974C7">
        <w:rPr>
          <w:bCs/>
        </w:rPr>
        <w:fldChar w:fldCharType="end"/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027DC46A" w14:textId="6F7FD51F" w:rsidR="00CB4FCD" w:rsidRDefault="00CB4FCD" w:rsidP="004A59E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171515117"/>
      <w:r>
        <w:t>R5-197497, “</w:t>
      </w:r>
      <w:r w:rsidR="00CB1C84" w:rsidRPr="00CB1C84">
        <w:t>Discussion on testability of ACS and IBB</w:t>
      </w:r>
      <w:r>
        <w:t xml:space="preserve">”, </w:t>
      </w:r>
      <w:r w:rsidR="00CB1C84" w:rsidRPr="00CB1C84">
        <w:t>Rohde &amp; Schwarz, Anritsu, Keysight</w:t>
      </w:r>
      <w:r w:rsidR="00CB1C84">
        <w:t>, RAN5#84</w:t>
      </w:r>
    </w:p>
    <w:p w14:paraId="03E6BEAC" w14:textId="55DC60E3" w:rsidR="004A59E6" w:rsidRDefault="004A59E6" w:rsidP="004A59E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94915683"/>
      <w:r w:rsidRPr="002E074F">
        <w:t>R5-246</w:t>
      </w:r>
      <w:r w:rsidR="009524E2">
        <w:t>230</w:t>
      </w:r>
      <w:r>
        <w:t xml:space="preserve">, </w:t>
      </w:r>
      <w:r w:rsidRPr="00675FDB">
        <w:rPr>
          <w:rFonts w:eastAsiaTheme="minorEastAsia"/>
        </w:rPr>
        <w:t>“</w:t>
      </w:r>
      <w:r w:rsidR="008E67D7" w:rsidRPr="008E67D7">
        <w:rPr>
          <w:rFonts w:eastAsiaTheme="minorEastAsia"/>
        </w:rPr>
        <w:t>PC7 FR2 MU - Discussion on non-antenna related MU factors</w:t>
      </w:r>
      <w:r w:rsidRPr="00675FDB">
        <w:rPr>
          <w:rFonts w:eastAsiaTheme="minorEastAsia"/>
        </w:rPr>
        <w:t>”,</w:t>
      </w:r>
      <w:r>
        <w:t xml:space="preserve"> </w:t>
      </w:r>
      <w:r w:rsidRPr="00C27527">
        <w:t>Keysight</w:t>
      </w:r>
      <w:r>
        <w:t>, RAN5#105</w:t>
      </w:r>
      <w:bookmarkEnd w:id="6"/>
      <w:bookmarkEnd w:id="7"/>
    </w:p>
    <w:p w14:paraId="3A802B2E" w14:textId="77777777" w:rsidR="009524E2" w:rsidRDefault="009524E2" w:rsidP="009524E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94915685"/>
      <w:r w:rsidRPr="002E074F">
        <w:t>R5-246537</w:t>
      </w:r>
      <w:r>
        <w:t xml:space="preserve">, </w:t>
      </w:r>
      <w:r w:rsidRPr="00675FDB">
        <w:rPr>
          <w:rFonts w:eastAsiaTheme="minorEastAsia"/>
        </w:rPr>
        <w:t>“PC</w:t>
      </w:r>
      <w:r>
        <w:rPr>
          <w:rFonts w:eastAsiaTheme="minorEastAsia"/>
        </w:rPr>
        <w:t>7</w:t>
      </w:r>
      <w:r w:rsidRPr="00675FDB">
        <w:rPr>
          <w:rFonts w:eastAsiaTheme="minorEastAsia"/>
        </w:rPr>
        <w:t xml:space="preserve"> MUs based on antenna array assumptions”,</w:t>
      </w:r>
      <w:r>
        <w:t xml:space="preserve"> </w:t>
      </w:r>
      <w:r w:rsidRPr="00C27527">
        <w:t>Keysight</w:t>
      </w:r>
      <w:r>
        <w:t>, RAN5#105</w:t>
      </w:r>
      <w:bookmarkEnd w:id="8"/>
    </w:p>
    <w:p w14:paraId="62055DFF" w14:textId="3A8D1FC6" w:rsidR="009524E2" w:rsidRPr="009F2377" w:rsidRDefault="009524E2" w:rsidP="009524E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bookmarkStart w:id="9" w:name="_Ref132624470"/>
      <w:r w:rsidRPr="009F2377">
        <w:rPr>
          <w:rFonts w:eastAsiaTheme="minorEastAsia"/>
        </w:rPr>
        <w:t>TR 38.903, “Derivation of test tolerances and measurement uncertainty for User Equipment (UE) conformance test cases”, v18.</w:t>
      </w:r>
      <w:r w:rsidR="00175BB9">
        <w:rPr>
          <w:rFonts w:eastAsiaTheme="minorEastAsia"/>
        </w:rPr>
        <w:t>6</w:t>
      </w:r>
      <w:r w:rsidRPr="009F2377">
        <w:rPr>
          <w:rFonts w:eastAsiaTheme="minorEastAsia"/>
        </w:rPr>
        <w:t>.0 (202</w:t>
      </w:r>
      <w:r w:rsidR="00175BB9">
        <w:rPr>
          <w:rFonts w:eastAsiaTheme="minorEastAsia"/>
        </w:rPr>
        <w:t>5</w:t>
      </w:r>
      <w:r w:rsidRPr="009F2377">
        <w:rPr>
          <w:rFonts w:eastAsiaTheme="minorEastAsia"/>
        </w:rPr>
        <w:t>-0</w:t>
      </w:r>
      <w:r w:rsidR="00175BB9">
        <w:rPr>
          <w:rFonts w:eastAsiaTheme="minorEastAsia"/>
        </w:rPr>
        <w:t>3</w:t>
      </w:r>
      <w:r w:rsidRPr="009F2377">
        <w:rPr>
          <w:rFonts w:eastAsiaTheme="minorEastAsia"/>
        </w:rPr>
        <w:t>)</w:t>
      </w:r>
      <w:bookmarkEnd w:id="9"/>
    </w:p>
    <w:p w14:paraId="02F3FB1F" w14:textId="57F5A342" w:rsidR="009524E2" w:rsidRPr="00856044" w:rsidRDefault="009524E2" w:rsidP="009524E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171515373"/>
      <w:r w:rsidRPr="008034F5">
        <w:rPr>
          <w:rFonts w:eastAsiaTheme="minorEastAsia"/>
        </w:rPr>
        <w:t>TS 38.</w:t>
      </w:r>
      <w:r>
        <w:rPr>
          <w:rFonts w:eastAsiaTheme="minorEastAsia"/>
        </w:rPr>
        <w:t>101</w:t>
      </w:r>
      <w:r w:rsidRPr="008034F5">
        <w:rPr>
          <w:rFonts w:eastAsiaTheme="minorEastAsia"/>
        </w:rPr>
        <w:t>-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>, “</w:t>
      </w:r>
      <w:r w:rsidRPr="00856044">
        <w:rPr>
          <w:rFonts w:eastAsiaTheme="minorEastAsia"/>
        </w:rPr>
        <w:t>User Equipment (UE) conformance specification; Radio transmission and reception; Part 1: Range 1 Standalone”, v17.1</w:t>
      </w:r>
      <w:r w:rsidR="00B122C7">
        <w:rPr>
          <w:rFonts w:eastAsiaTheme="minorEastAsia"/>
        </w:rPr>
        <w:t>7</w:t>
      </w:r>
      <w:r w:rsidRPr="00856044">
        <w:rPr>
          <w:rFonts w:eastAsiaTheme="minorEastAsia"/>
        </w:rPr>
        <w:t>.0 (202</w:t>
      </w:r>
      <w:r w:rsidR="00B122C7">
        <w:rPr>
          <w:rFonts w:eastAsiaTheme="minorEastAsia"/>
        </w:rPr>
        <w:t>5</w:t>
      </w:r>
      <w:r w:rsidRPr="00856044">
        <w:rPr>
          <w:rFonts w:eastAsiaTheme="minorEastAsia"/>
        </w:rPr>
        <w:t>-0</w:t>
      </w:r>
      <w:r w:rsidR="00B122C7">
        <w:rPr>
          <w:rFonts w:eastAsiaTheme="minorEastAsia"/>
        </w:rPr>
        <w:t>3</w:t>
      </w:r>
      <w:r w:rsidRPr="00856044">
        <w:rPr>
          <w:rFonts w:eastAsiaTheme="minorEastAsia"/>
        </w:rPr>
        <w:t>)</w:t>
      </w:r>
      <w:bookmarkEnd w:id="10"/>
    </w:p>
    <w:p w14:paraId="05CF7C78" w14:textId="77777777" w:rsidR="004A59E6" w:rsidRPr="00354167" w:rsidRDefault="004A59E6" w:rsidP="00B122C7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4A59E6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E2448" w14:textId="77777777" w:rsidR="00093B22" w:rsidRDefault="00093B22">
      <w:r>
        <w:separator/>
      </w:r>
    </w:p>
  </w:endnote>
  <w:endnote w:type="continuationSeparator" w:id="0">
    <w:p w14:paraId="299BEB0E" w14:textId="77777777" w:rsidR="00093B22" w:rsidRDefault="00093B22">
      <w:r>
        <w:continuationSeparator/>
      </w:r>
    </w:p>
  </w:endnote>
  <w:endnote w:type="continuationNotice" w:id="1">
    <w:p w14:paraId="403353C9" w14:textId="77777777" w:rsidR="00093B22" w:rsidRDefault="00093B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FD3BA" w14:textId="77777777" w:rsidR="00093B22" w:rsidRDefault="00093B22">
      <w:r>
        <w:separator/>
      </w:r>
    </w:p>
  </w:footnote>
  <w:footnote w:type="continuationSeparator" w:id="0">
    <w:p w14:paraId="135D6388" w14:textId="77777777" w:rsidR="00093B22" w:rsidRDefault="00093B22">
      <w:r>
        <w:continuationSeparator/>
      </w:r>
    </w:p>
  </w:footnote>
  <w:footnote w:type="continuationNotice" w:id="1">
    <w:p w14:paraId="61CB77D3" w14:textId="77777777" w:rsidR="00093B22" w:rsidRDefault="00093B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480B"/>
    <w:rsid w:val="00077333"/>
    <w:rsid w:val="00082566"/>
    <w:rsid w:val="000833ED"/>
    <w:rsid w:val="00083540"/>
    <w:rsid w:val="00084012"/>
    <w:rsid w:val="00084983"/>
    <w:rsid w:val="00087F53"/>
    <w:rsid w:val="00091C38"/>
    <w:rsid w:val="00093B22"/>
    <w:rsid w:val="00093E7E"/>
    <w:rsid w:val="00096EE4"/>
    <w:rsid w:val="000974C7"/>
    <w:rsid w:val="000A12C7"/>
    <w:rsid w:val="000A2A86"/>
    <w:rsid w:val="000A43B4"/>
    <w:rsid w:val="000B25D3"/>
    <w:rsid w:val="000B5781"/>
    <w:rsid w:val="000B6DE5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0D6B"/>
    <w:rsid w:val="00121323"/>
    <w:rsid w:val="00122845"/>
    <w:rsid w:val="00124141"/>
    <w:rsid w:val="001244FE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61F4"/>
    <w:rsid w:val="00156CC0"/>
    <w:rsid w:val="00157AD8"/>
    <w:rsid w:val="00166A36"/>
    <w:rsid w:val="001741AE"/>
    <w:rsid w:val="001758FB"/>
    <w:rsid w:val="00175BB9"/>
    <w:rsid w:val="001915BC"/>
    <w:rsid w:val="0019340F"/>
    <w:rsid w:val="00193455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5669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15E96"/>
    <w:rsid w:val="00222897"/>
    <w:rsid w:val="0022419C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3B65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6B9F"/>
    <w:rsid w:val="002A0060"/>
    <w:rsid w:val="002A4112"/>
    <w:rsid w:val="002A7017"/>
    <w:rsid w:val="002A7452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188"/>
    <w:rsid w:val="002D0D61"/>
    <w:rsid w:val="002D44BD"/>
    <w:rsid w:val="002D69EF"/>
    <w:rsid w:val="002D779F"/>
    <w:rsid w:val="002D7F3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16602"/>
    <w:rsid w:val="003209E5"/>
    <w:rsid w:val="00323717"/>
    <w:rsid w:val="00324F35"/>
    <w:rsid w:val="00326CFF"/>
    <w:rsid w:val="00331E19"/>
    <w:rsid w:val="00332820"/>
    <w:rsid w:val="003330E9"/>
    <w:rsid w:val="003340C5"/>
    <w:rsid w:val="003343D3"/>
    <w:rsid w:val="0033593B"/>
    <w:rsid w:val="003404F4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26F8"/>
    <w:rsid w:val="003834B0"/>
    <w:rsid w:val="00384387"/>
    <w:rsid w:val="003907E3"/>
    <w:rsid w:val="0039361E"/>
    <w:rsid w:val="00394D7F"/>
    <w:rsid w:val="0039509E"/>
    <w:rsid w:val="00395BBC"/>
    <w:rsid w:val="0039608D"/>
    <w:rsid w:val="00397CC0"/>
    <w:rsid w:val="003A1A50"/>
    <w:rsid w:val="003A1E08"/>
    <w:rsid w:val="003B1087"/>
    <w:rsid w:val="003B1AA0"/>
    <w:rsid w:val="003B3A89"/>
    <w:rsid w:val="003B478A"/>
    <w:rsid w:val="003B5AB0"/>
    <w:rsid w:val="003B7F37"/>
    <w:rsid w:val="003C2AAF"/>
    <w:rsid w:val="003C4291"/>
    <w:rsid w:val="003C47CE"/>
    <w:rsid w:val="003C5232"/>
    <w:rsid w:val="003C69A5"/>
    <w:rsid w:val="003D1D54"/>
    <w:rsid w:val="003D2C79"/>
    <w:rsid w:val="003D472D"/>
    <w:rsid w:val="003D5D10"/>
    <w:rsid w:val="003D7CEB"/>
    <w:rsid w:val="003E300F"/>
    <w:rsid w:val="003E39F0"/>
    <w:rsid w:val="003E3F2D"/>
    <w:rsid w:val="003E47AC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7835"/>
    <w:rsid w:val="004420B4"/>
    <w:rsid w:val="00444225"/>
    <w:rsid w:val="00445435"/>
    <w:rsid w:val="00456C09"/>
    <w:rsid w:val="00460237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10B2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2347"/>
    <w:rsid w:val="004A419F"/>
    <w:rsid w:val="004A59E6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448D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283E"/>
    <w:rsid w:val="00513632"/>
    <w:rsid w:val="00513909"/>
    <w:rsid w:val="00516FAA"/>
    <w:rsid w:val="00517B81"/>
    <w:rsid w:val="00520CFC"/>
    <w:rsid w:val="00522C5E"/>
    <w:rsid w:val="005239FE"/>
    <w:rsid w:val="00526FA7"/>
    <w:rsid w:val="0053435C"/>
    <w:rsid w:val="00534F8F"/>
    <w:rsid w:val="00541EB9"/>
    <w:rsid w:val="00543114"/>
    <w:rsid w:val="00543311"/>
    <w:rsid w:val="00546367"/>
    <w:rsid w:val="005464FE"/>
    <w:rsid w:val="005471FE"/>
    <w:rsid w:val="00547986"/>
    <w:rsid w:val="005548F1"/>
    <w:rsid w:val="00554A16"/>
    <w:rsid w:val="005550DD"/>
    <w:rsid w:val="00555741"/>
    <w:rsid w:val="005603F5"/>
    <w:rsid w:val="005649A1"/>
    <w:rsid w:val="00566838"/>
    <w:rsid w:val="00580542"/>
    <w:rsid w:val="00580587"/>
    <w:rsid w:val="005808DF"/>
    <w:rsid w:val="00581E88"/>
    <w:rsid w:val="00583627"/>
    <w:rsid w:val="0058392F"/>
    <w:rsid w:val="00585B23"/>
    <w:rsid w:val="005908D2"/>
    <w:rsid w:val="00590B5F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5F6ECD"/>
    <w:rsid w:val="00604D7C"/>
    <w:rsid w:val="00607D98"/>
    <w:rsid w:val="0061059A"/>
    <w:rsid w:val="006126CA"/>
    <w:rsid w:val="006131BB"/>
    <w:rsid w:val="00613B05"/>
    <w:rsid w:val="00613B1E"/>
    <w:rsid w:val="0061469A"/>
    <w:rsid w:val="00614741"/>
    <w:rsid w:val="00616FB0"/>
    <w:rsid w:val="006210C4"/>
    <w:rsid w:val="00622135"/>
    <w:rsid w:val="00622B32"/>
    <w:rsid w:val="00634928"/>
    <w:rsid w:val="00635671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58E"/>
    <w:rsid w:val="0065492A"/>
    <w:rsid w:val="00654D11"/>
    <w:rsid w:val="00656822"/>
    <w:rsid w:val="00656A7B"/>
    <w:rsid w:val="00665AD3"/>
    <w:rsid w:val="00665FBC"/>
    <w:rsid w:val="00670DBB"/>
    <w:rsid w:val="00673A4B"/>
    <w:rsid w:val="00680470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2A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2D3D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67228"/>
    <w:rsid w:val="00770A12"/>
    <w:rsid w:val="007748ED"/>
    <w:rsid w:val="00774B17"/>
    <w:rsid w:val="007756A1"/>
    <w:rsid w:val="0078088D"/>
    <w:rsid w:val="00785759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445A"/>
    <w:rsid w:val="007C495F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558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40D9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4686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4C80"/>
    <w:rsid w:val="008B5C74"/>
    <w:rsid w:val="008C2308"/>
    <w:rsid w:val="008C2C4B"/>
    <w:rsid w:val="008C60E9"/>
    <w:rsid w:val="008C7836"/>
    <w:rsid w:val="008D7BED"/>
    <w:rsid w:val="008E4413"/>
    <w:rsid w:val="008E4684"/>
    <w:rsid w:val="008E4F84"/>
    <w:rsid w:val="008E67D7"/>
    <w:rsid w:val="008E6844"/>
    <w:rsid w:val="008F08D9"/>
    <w:rsid w:val="008F1346"/>
    <w:rsid w:val="008F472C"/>
    <w:rsid w:val="008F540C"/>
    <w:rsid w:val="008F7AA4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4E2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76F6C"/>
    <w:rsid w:val="00980E79"/>
    <w:rsid w:val="00982B7E"/>
    <w:rsid w:val="00983910"/>
    <w:rsid w:val="00983AD3"/>
    <w:rsid w:val="00984E5F"/>
    <w:rsid w:val="009913F6"/>
    <w:rsid w:val="00992B5F"/>
    <w:rsid w:val="00997D88"/>
    <w:rsid w:val="009A5F26"/>
    <w:rsid w:val="009A63AD"/>
    <w:rsid w:val="009C0727"/>
    <w:rsid w:val="009C0C34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3F2"/>
    <w:rsid w:val="00A22FB6"/>
    <w:rsid w:val="00A2310D"/>
    <w:rsid w:val="00A23B73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CB8"/>
    <w:rsid w:val="00A85DBC"/>
    <w:rsid w:val="00A91132"/>
    <w:rsid w:val="00A97CB6"/>
    <w:rsid w:val="00AA28BF"/>
    <w:rsid w:val="00AA3993"/>
    <w:rsid w:val="00AA3D6A"/>
    <w:rsid w:val="00AA42AF"/>
    <w:rsid w:val="00AA522D"/>
    <w:rsid w:val="00AA6469"/>
    <w:rsid w:val="00AA69E4"/>
    <w:rsid w:val="00AA7169"/>
    <w:rsid w:val="00AA7233"/>
    <w:rsid w:val="00AB0C5E"/>
    <w:rsid w:val="00AB21BF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B01518"/>
    <w:rsid w:val="00B0589A"/>
    <w:rsid w:val="00B122C7"/>
    <w:rsid w:val="00B12E3A"/>
    <w:rsid w:val="00B14BC8"/>
    <w:rsid w:val="00B20C57"/>
    <w:rsid w:val="00B21D87"/>
    <w:rsid w:val="00B22ADA"/>
    <w:rsid w:val="00B24CEF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4499"/>
    <w:rsid w:val="00B55D9A"/>
    <w:rsid w:val="00B5661F"/>
    <w:rsid w:val="00B6099D"/>
    <w:rsid w:val="00B60E4E"/>
    <w:rsid w:val="00B62514"/>
    <w:rsid w:val="00B65101"/>
    <w:rsid w:val="00B70AC5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078"/>
    <w:rsid w:val="00BE3D23"/>
    <w:rsid w:val="00BE5CA5"/>
    <w:rsid w:val="00BE5CB9"/>
    <w:rsid w:val="00BF45A1"/>
    <w:rsid w:val="00BF5875"/>
    <w:rsid w:val="00C00F23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817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3872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0C52"/>
    <w:rsid w:val="00C93744"/>
    <w:rsid w:val="00C958F3"/>
    <w:rsid w:val="00C9614A"/>
    <w:rsid w:val="00CA1AB4"/>
    <w:rsid w:val="00CA3A27"/>
    <w:rsid w:val="00CA517A"/>
    <w:rsid w:val="00CA70F7"/>
    <w:rsid w:val="00CB0D58"/>
    <w:rsid w:val="00CB1C84"/>
    <w:rsid w:val="00CB29E4"/>
    <w:rsid w:val="00CB4FCD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E7A20"/>
    <w:rsid w:val="00CF0031"/>
    <w:rsid w:val="00CF0C99"/>
    <w:rsid w:val="00CF46D3"/>
    <w:rsid w:val="00CF61F2"/>
    <w:rsid w:val="00D01EAC"/>
    <w:rsid w:val="00D076FD"/>
    <w:rsid w:val="00D1118A"/>
    <w:rsid w:val="00D12C21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F93"/>
    <w:rsid w:val="00D9140C"/>
    <w:rsid w:val="00D91F54"/>
    <w:rsid w:val="00D93835"/>
    <w:rsid w:val="00D93AE3"/>
    <w:rsid w:val="00D9442D"/>
    <w:rsid w:val="00D946C8"/>
    <w:rsid w:val="00D94F8B"/>
    <w:rsid w:val="00D95235"/>
    <w:rsid w:val="00D9763F"/>
    <w:rsid w:val="00DA66C3"/>
    <w:rsid w:val="00DB5E7F"/>
    <w:rsid w:val="00DB6CE7"/>
    <w:rsid w:val="00DC176A"/>
    <w:rsid w:val="00DC3441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46C14"/>
    <w:rsid w:val="00E502C4"/>
    <w:rsid w:val="00E5455B"/>
    <w:rsid w:val="00E556C7"/>
    <w:rsid w:val="00E55ABC"/>
    <w:rsid w:val="00E56168"/>
    <w:rsid w:val="00E561B7"/>
    <w:rsid w:val="00E57B74"/>
    <w:rsid w:val="00E57FEF"/>
    <w:rsid w:val="00E642B3"/>
    <w:rsid w:val="00E70C18"/>
    <w:rsid w:val="00E71B84"/>
    <w:rsid w:val="00E86057"/>
    <w:rsid w:val="00E8629F"/>
    <w:rsid w:val="00E90B54"/>
    <w:rsid w:val="00E92F01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0631"/>
    <w:rsid w:val="00ED5F47"/>
    <w:rsid w:val="00ED7922"/>
    <w:rsid w:val="00EE01EA"/>
    <w:rsid w:val="00EE066A"/>
    <w:rsid w:val="00EE2605"/>
    <w:rsid w:val="00EE3A95"/>
    <w:rsid w:val="00EE3ED1"/>
    <w:rsid w:val="00EE473C"/>
    <w:rsid w:val="00EE5692"/>
    <w:rsid w:val="00EE6221"/>
    <w:rsid w:val="00EE7690"/>
    <w:rsid w:val="00EF011F"/>
    <w:rsid w:val="00EF325F"/>
    <w:rsid w:val="00EF32A7"/>
    <w:rsid w:val="00EF5D8B"/>
    <w:rsid w:val="00EF6BCD"/>
    <w:rsid w:val="00F0062C"/>
    <w:rsid w:val="00F01416"/>
    <w:rsid w:val="00F030CA"/>
    <w:rsid w:val="00F047B4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7184A"/>
    <w:rsid w:val="00F74113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300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uiPriority w:val="59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4E0BC3-2370-443E-9DAB-6E86A574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146</cp:revision>
  <dcterms:created xsi:type="dcterms:W3CDTF">2020-05-26T02:02:00Z</dcterms:created>
  <dcterms:modified xsi:type="dcterms:W3CDTF">2025-04-29T13:19:00Z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